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4D" w:rsidRPr="0040313D" w:rsidRDefault="00556F4D" w:rsidP="00556F4D">
      <w:pPr>
        <w:pStyle w:val="Heading1"/>
      </w:pPr>
      <w:r w:rsidRPr="004D1186">
        <w:t xml:space="preserve">XÓA NẠN MÙ CHỮ </w:t>
      </w:r>
      <w:bookmarkStart w:id="0" w:name="_GoBack"/>
      <w:r w:rsidRPr="004D1186">
        <w:t>(1945)</w:t>
      </w:r>
      <w:bookmarkEnd w:id="0"/>
      <w:r w:rsidRPr="004D1186">
        <w:t xml:space="preserve">, </w:t>
      </w:r>
      <w:r w:rsidRPr="0040313D">
        <w:t>một chiến dịch do Hồ Chí Minh phát động ngay sau khi đất nước giành được độc lập với việc ban hành các Sắc lệnh về chống nạn thất học và được triển khai rộng rãi với phong trào Bình dân học vụ trên toàn quốc.</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   Ngay sau khi Cách mạng tháng Tám năm 1945 thành công, đất nước giành lại được độc lập, Nhà nước Việt Nam Dân chủ Cộng hòa non trẻ đã phải đối mặt với nhiều khó khăn: nạn đói, nạn dốt và nạn ngoại xâm bao vây tứ phía. Do chính sách ngu dân của thực dân Pháp, đến năm 1945, hơn 95% dân số Việt Nam bị mù chữ.</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Ngày 3.9.1945, tại phiên họp đầu tiên của Hội đồng Chính phủ, Chủ tịch Hồ Chí Minh đã nêu sáu nhiệm vụ cấp bách của nước Việt Nam Dân chủ Cộng hòa phải làm, trong đó nhiệm vụ diệt “giặc dốt” đứng hàng thứ hai sau “giặc đói”. Tại phiên họp này, Người đề nghị mở một chiến dịch để chống nạn mù chữ. Chủ tịch Hồ Chí Minh nói: Nạn dốt là một trong những phương pháp độc ác mà bọn thực dân dùng để cai trị chúng ta. Hơn chín mươi phần trăm đồng bào ta mù chữ… Một dân tộc dốt là một dân tộc yếu. Vì vậy, tôi đề nghị mở một chiến dịch chống nạn mù chữ.</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Chống nạn thất học, nâng cao dân trí là một chủ trương lớn của Đảng Cộng sản Việt Nam và là một tư tưởng lớn của Chủ tịch Hồ Chí Minh. Ngay từ khi còn hoạt động cách mạng ở Pháp, năm 1919, Người đã đưa yêu sách “Tự do học tập của người bản xứ”. Mặt trận Việt Minh được thành lập tháng 5.1941, có ghi: “Chống nạn mù chữ, phổ thông và cưỡng bách giáo dục đến bậc Sơ cấp”.</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Với chủ trương trên, ngày 8.9.1945, Chính phủ đã ban hành ba Sắc lệnh về chống nạn thất học:</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Sắc lệnh số 17/SL: Thành lập Nha Bình dân học vụ, quy định rõ nhiệm vụ của Nha này chuyên lo việc học cho nhân dân, và thuộc Bộ Quốc gia giáo dục.</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Sắc lệnh số 19/SL: Quy định hạn trong sáu tháng, thị trấn nào cũng phải có lớp học, ít nhất có ba mươi người theo học.</w:t>
      </w:r>
    </w:p>
    <w:p w:rsidR="00556F4D" w:rsidRPr="004D1186" w:rsidRDefault="00556F4D" w:rsidP="00556F4D">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Sắc lệnh số 20/SL: Việc học chữ Quốc ngữ từ nay bắt buộc và không mất tiền cho tất cả mọi người. Hạn trong một năm toàn thể dân chúng Việt Nam từ 8 tuổi trở lên phải biết đọc biết viết chữ Quốc ngữ.</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Thay mặt Chủ tịch Chính phủ lâm thời, Bộ trưởng Bộ Nội vụ Võ Nguyên Giáp đã ký thay Chủ tịch, cử ông Nguyễn Công Mỹ làm Giám đốc Nha Bình dân học vụ.</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Để kêu gọi toàn dân tham gia XNMC, tiếp đó ngày 4.10.1945, Chủ tịch Hồ Chí Minh ra Lời kêu gọi: “Chống nạn thất học”. Người viết: “Số người Việt Nam thất học so với số người trong nước là chín mươi lăm phần trăm, nghĩa là hầu hết người Việt Nam mù chữ. Như thế thì tiến bộ làm sao được? Nay chúng ta đã giành được quyền độc lập. Một trong những công việc phải làm cấp tốc </w:t>
      </w:r>
      <w:r w:rsidRPr="004D1186">
        <w:rPr>
          <w:rFonts w:ascii="Times New Roman" w:eastAsia="Calibri" w:hAnsi="Times New Roman" w:cs="Times New Roman"/>
          <w:color w:val="000000" w:themeColor="text1"/>
          <w:sz w:val="28"/>
          <w:szCs w:val="28"/>
        </w:rPr>
        <w:lastRenderedPageBreak/>
        <w:t>trong lúc này, là nâng cao dân trí. Chính phủ đã ra hạn trong một năm, tất cả mọi người Việt Nam đều phải biết chữ Quốc ngữ… Những người đã biết chữ hãy dạy cho những người chưa biết chữ… Những người chưa biết chữ hãy gắng sức mà học cho biết đi. Vợ chưa biết thì chồng bảo, em chưa biết thì anh bảo, cha mẹ không biết thì con bảo, người ăn người làm không biết thì chủ nhà bảo, các người giàu có thì mở lớp học ở tư gia dạy cho những người không biết chữ ở hàng xóm láng giềng, các chủ ấp, chủ đồn điền, chủ hầm mỏ, nhà máy thì mở lớp cho những tá điền, người làm của mình… Phụ nữ lại càng phải học…”.</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pacing w:val="-4"/>
          <w:sz w:val="28"/>
          <w:szCs w:val="28"/>
        </w:rPr>
      </w:pPr>
      <w:r w:rsidRPr="004D1186">
        <w:rPr>
          <w:rFonts w:ascii="Times New Roman" w:eastAsia="Calibri" w:hAnsi="Times New Roman" w:cs="Times New Roman"/>
          <w:color w:val="000000" w:themeColor="text1"/>
          <w:spacing w:val="-4"/>
          <w:sz w:val="28"/>
          <w:szCs w:val="28"/>
        </w:rPr>
        <w:t>Sau khi các sắc lệnh được ban hành và hưởng ứng Lời kêu gọi của Chủ tịch Hồ Chí Minh, phong trào toàn dân tham gia bình dân học vụ phát triển rộng khắp và sôi nổi dưới nhiều hình thức. Phong trào này nhằm giải quyết “giặc dốt” - một trong các vấn đề cấp bách nhất để XNMC cho nhân dân.</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Các lớp học được tổ chức ở khắp nơi tại các trường công và tư, tại nhà dân, tại đình, chùa, có lớp mở ở chợ cho chị em bán hàng, lớp học mở trên sông cho các vạn chài, trong các xưởng máy, doanh trại quân đội, bến xe và tại các trại giam cho phạm nhân… Kinh phí mở lớp học bình dân học vụ do ngân sách địa phương cấp.</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Chỉ trong thời gian ngắn, Nha Bình dân học vụ đã thực hiện khẩn trương thực hiện các biện pháp tích cực như: mở các lớp huấn luyện, đào tạo hàng trăm cán bộ cung cấp giáo viên cho các tỉnh Bắc Bộ, Trung Bộ và Tây Nguyên. Đó là “Khóa Hồ Chí Minh” dành cho cán bộ từ Thanh Hóa trở ra, “Khóa Phan Thanh” dành cho các tỉnh trực thuộc Trung Bộ và “Khóa Đoàn kết” dành cho các tỉnh miền núi Bắc và Trung Bộ. Bên cạnh đó, việc biên soạn tài liệu dạy học và tập sách “Vần Quốc ngữ” ra đời với phương pháp dạy học của Hội Truyền bá Quốc ngữ. </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Hưởng ứng Lời kêu gọi của Chủ tịch Hồ Chí Minh, nhân dân đã tích cực góp công, góp sức tổ chức những lớp bình dân học vụ. Chỉ sau ba tháng, bình dân học vụ trở thành một phong trào quần chúng sôi nổi, lôi cuốn hàng triệu người không biết chữ trên cả nước nô nức đi học.</w:t>
      </w:r>
    </w:p>
    <w:p w:rsidR="00556F4D" w:rsidRPr="004D1186" w:rsidRDefault="00556F4D" w:rsidP="00556F4D">
      <w:pPr>
        <w:keepNext/>
        <w:widowControl w:val="0"/>
        <w:tabs>
          <w:tab w:val="left" w:pos="900"/>
        </w:tabs>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Tính đến tháng 6.1946, cả nước đã huấn luyện được 6 vạn giáo viên bình dân học vụ, đã xóa mù chữ cho 1,5 triệu người, xuất bản được 700.000 sách giáo khoa cho người biết đọc, biết viết. Sau một năm đã tổ chức được 76.000 lớp học, xóa mù chữ cho 2,5 triệu người. Các tỉnh, thành Hà Nội, Thái Bình, Hải Dương là những nơi có phong trào khá nhất, được Trung ương Đảng, Chính phủ và Chủ tịch Hồ Chí Minh khen ngợi. Nạn mù chữ được thanh toán một bước quan trọng. Chủ trương diệt “giặc dốt” - XNMC, xây dựng hệ thống giáo dục mới để góp phần nâng cao dân trí, đã được thực hiện một cách sáng tạo, bền bỉ, đi từ dưới lên trên và có một ý nghĩa chính trị to lớn. Đường lối và mục tiêu văn hóa - giáo dục của Đảng và Chính phủ phản ánh đúng yêu cầu và nguyện vọng thiết tha của dân tộc Việt Nam đang chung sức phá bỏ xiềng xích </w:t>
      </w:r>
      <w:r w:rsidRPr="004D1186">
        <w:rPr>
          <w:rFonts w:ascii="Times New Roman" w:eastAsia="Calibri" w:hAnsi="Times New Roman" w:cs="Times New Roman"/>
          <w:color w:val="000000" w:themeColor="text1"/>
          <w:sz w:val="28"/>
          <w:szCs w:val="28"/>
        </w:rPr>
        <w:lastRenderedPageBreak/>
        <w:t>nô lệ, củng cố và giữ vững chính quyền dân chủ nhân dân.</w:t>
      </w:r>
    </w:p>
    <w:p w:rsidR="00556F4D" w:rsidRPr="004D1186" w:rsidRDefault="00556F4D" w:rsidP="00556F4D">
      <w:pPr>
        <w:keepNext/>
        <w:widowControl w:val="0"/>
        <w:tabs>
          <w:tab w:val="left" w:pos="900"/>
        </w:tabs>
        <w:spacing w:line="240" w:lineRule="auto"/>
        <w:ind w:firstLine="459"/>
        <w:jc w:val="right"/>
        <w:rPr>
          <w:rFonts w:ascii="Times New Roman" w:eastAsia="Calibri" w:hAnsi="Times New Roman" w:cs="Times New Roman"/>
          <w:b/>
          <w:color w:val="000000" w:themeColor="text1"/>
          <w:sz w:val="24"/>
          <w:szCs w:val="24"/>
        </w:rPr>
      </w:pPr>
      <w:r w:rsidRPr="004D1186">
        <w:rPr>
          <w:rFonts w:ascii="Times New Roman" w:eastAsia="Calibri" w:hAnsi="Times New Roman" w:cs="Times New Roman"/>
          <w:b/>
          <w:color w:val="000000" w:themeColor="text1"/>
          <w:sz w:val="24"/>
          <w:szCs w:val="24"/>
        </w:rPr>
        <w:t>ĐỖ THỊ NGUYỆT QUANG</w:t>
      </w:r>
    </w:p>
    <w:p w:rsidR="00556F4D" w:rsidRPr="004D1186" w:rsidRDefault="00556F4D" w:rsidP="00556F4D">
      <w:pPr>
        <w:keepNext/>
        <w:widowControl w:val="0"/>
        <w:tabs>
          <w:tab w:val="left" w:pos="900"/>
        </w:tabs>
        <w:spacing w:line="240" w:lineRule="auto"/>
        <w:ind w:left="176" w:hanging="157"/>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556F4D" w:rsidRPr="004D1186" w:rsidRDefault="00556F4D" w:rsidP="00556F4D">
      <w:pPr>
        <w:keepNext/>
        <w:widowControl w:val="0"/>
        <w:spacing w:before="0" w:line="240" w:lineRule="auto"/>
        <w:ind w:left="284" w:hanging="284"/>
        <w:rPr>
          <w:rFonts w:ascii="Times New Roman" w:eastAsia="MS Mincho" w:hAnsi="Times New Roman" w:cs="Times New Roman"/>
          <w:color w:val="000000" w:themeColor="text1"/>
          <w:sz w:val="24"/>
          <w:szCs w:val="24"/>
        </w:rPr>
      </w:pPr>
      <w:r w:rsidRPr="004D1186">
        <w:rPr>
          <w:rFonts w:ascii="Times New Roman" w:eastAsia="MS Mincho" w:hAnsi="Times New Roman" w:cs="Times New Roman"/>
          <w:color w:val="000000" w:themeColor="text1"/>
          <w:sz w:val="24"/>
          <w:szCs w:val="28"/>
        </w:rPr>
        <w:t xml:space="preserve">1. </w:t>
      </w:r>
      <w:r w:rsidRPr="004D1186">
        <w:rPr>
          <w:rFonts w:ascii="Times New Roman" w:eastAsia="MS Mincho" w:hAnsi="Times New Roman" w:cs="Times New Roman"/>
          <w:color w:val="000000" w:themeColor="text1"/>
          <w:sz w:val="24"/>
          <w:szCs w:val="24"/>
        </w:rPr>
        <w:t xml:space="preserve">Viện Hàn lâm Khoa học xã hội Việt Nam, Viện Sử học, Đinh Thị Thu Cúc (Chủ biên), </w:t>
      </w:r>
      <w:r w:rsidRPr="004D1186">
        <w:rPr>
          <w:rFonts w:ascii="Times New Roman" w:eastAsia="MS Mincho" w:hAnsi="Times New Roman" w:cs="Times New Roman"/>
          <w:i/>
          <w:color w:val="000000" w:themeColor="text1"/>
          <w:sz w:val="24"/>
          <w:szCs w:val="24"/>
        </w:rPr>
        <w:t>Lịch sử Việt Nam, Tập 10: từ năm 1945 đến năm 1950</w:t>
      </w:r>
      <w:r w:rsidRPr="004D1186">
        <w:rPr>
          <w:rFonts w:ascii="Times New Roman" w:eastAsia="MS Mincho" w:hAnsi="Times New Roman" w:cs="Times New Roman"/>
          <w:color w:val="000000" w:themeColor="text1"/>
          <w:sz w:val="24"/>
          <w:szCs w:val="24"/>
        </w:rPr>
        <w:t>, Nxb Khoa học xã hội, Hà Nội, 2017.</w:t>
      </w:r>
    </w:p>
    <w:p w:rsidR="00556F4D" w:rsidRPr="004D1186" w:rsidRDefault="00556F4D" w:rsidP="00556F4D">
      <w:pPr>
        <w:keepNext/>
        <w:widowControl w:val="0"/>
        <w:spacing w:before="0" w:line="240" w:lineRule="auto"/>
        <w:ind w:left="284" w:hanging="284"/>
        <w:rPr>
          <w:rFonts w:ascii="Times New Roman" w:eastAsia="MS Mincho" w:hAnsi="Times New Roman" w:cs="Times New Roman"/>
          <w:color w:val="000000" w:themeColor="text1"/>
          <w:sz w:val="24"/>
          <w:szCs w:val="28"/>
        </w:rPr>
      </w:pPr>
      <w:r w:rsidRPr="004D1186">
        <w:rPr>
          <w:rFonts w:ascii="Times New Roman" w:eastAsia="MS Mincho" w:hAnsi="Times New Roman" w:cs="Times New Roman"/>
          <w:color w:val="000000" w:themeColor="text1"/>
          <w:sz w:val="24"/>
          <w:szCs w:val="28"/>
        </w:rPr>
        <w:t xml:space="preserve">2. Hồ Chí Minh, </w:t>
      </w:r>
      <w:r w:rsidRPr="004D1186">
        <w:rPr>
          <w:rFonts w:ascii="Times New Roman" w:eastAsia="MS Mincho" w:hAnsi="Times New Roman" w:cs="Times New Roman"/>
          <w:i/>
          <w:color w:val="000000" w:themeColor="text1"/>
          <w:sz w:val="24"/>
          <w:szCs w:val="28"/>
        </w:rPr>
        <w:t>Toàn tập</w:t>
      </w:r>
      <w:r w:rsidRPr="004D1186">
        <w:rPr>
          <w:rFonts w:ascii="Times New Roman" w:eastAsia="MS Mincho" w:hAnsi="Times New Roman" w:cs="Times New Roman"/>
          <w:color w:val="000000" w:themeColor="text1"/>
          <w:sz w:val="24"/>
          <w:szCs w:val="28"/>
        </w:rPr>
        <w:t>, Nxb. Chính trị Quốc gia, Hà Nội, 2000.</w:t>
      </w:r>
    </w:p>
    <w:p w:rsidR="00556F4D" w:rsidRPr="004D1186" w:rsidRDefault="00556F4D" w:rsidP="00556F4D">
      <w:pPr>
        <w:keepNext/>
        <w:widowControl w:val="0"/>
        <w:spacing w:before="0" w:line="240" w:lineRule="auto"/>
        <w:ind w:left="284" w:hanging="284"/>
        <w:rPr>
          <w:rFonts w:ascii="Times New Roman" w:eastAsia="MS Mincho" w:hAnsi="Times New Roman" w:cs="Times New Roman"/>
          <w:color w:val="000000" w:themeColor="text1"/>
          <w:sz w:val="24"/>
          <w:szCs w:val="28"/>
        </w:rPr>
      </w:pPr>
      <w:r w:rsidRPr="004D1186">
        <w:rPr>
          <w:rFonts w:ascii="Times New Roman" w:eastAsia="MS Mincho" w:hAnsi="Times New Roman" w:cs="Times New Roman"/>
          <w:color w:val="000000" w:themeColor="text1"/>
          <w:sz w:val="24"/>
          <w:szCs w:val="28"/>
        </w:rPr>
        <w:t xml:space="preserve">4. Hồ Chí Minh, </w:t>
      </w:r>
      <w:r w:rsidRPr="004D1186">
        <w:rPr>
          <w:rFonts w:ascii="Times New Roman" w:eastAsia="MS Mincho" w:hAnsi="Times New Roman" w:cs="Times New Roman"/>
          <w:i/>
          <w:color w:val="000000" w:themeColor="text1"/>
          <w:sz w:val="24"/>
          <w:szCs w:val="28"/>
        </w:rPr>
        <w:t>Toàn tập</w:t>
      </w:r>
      <w:r w:rsidRPr="004D1186">
        <w:rPr>
          <w:rFonts w:ascii="Times New Roman" w:eastAsia="MS Mincho" w:hAnsi="Times New Roman" w:cs="Times New Roman"/>
          <w:color w:val="000000" w:themeColor="text1"/>
          <w:sz w:val="24"/>
          <w:szCs w:val="28"/>
        </w:rPr>
        <w:t>, tập 4, Nxb. Chính trị quốc gia, Hà Nội, 1995.</w:t>
      </w:r>
    </w:p>
    <w:p w:rsidR="00556F4D" w:rsidRPr="004D1186" w:rsidRDefault="00556F4D" w:rsidP="00556F4D">
      <w:pPr>
        <w:keepNext/>
        <w:widowControl w:val="0"/>
        <w:spacing w:before="0" w:line="240" w:lineRule="auto"/>
        <w:ind w:left="284" w:hanging="284"/>
        <w:rPr>
          <w:rFonts w:ascii="Times New Roman" w:eastAsia="MS Mincho" w:hAnsi="Times New Roman" w:cs="Times New Roman"/>
          <w:color w:val="000000" w:themeColor="text1"/>
          <w:sz w:val="24"/>
          <w:szCs w:val="24"/>
        </w:rPr>
      </w:pPr>
      <w:r w:rsidRPr="004D1186">
        <w:rPr>
          <w:rFonts w:ascii="Times New Roman" w:eastAsia="MS Mincho" w:hAnsi="Times New Roman" w:cs="Times New Roman"/>
          <w:color w:val="000000" w:themeColor="text1"/>
          <w:sz w:val="24"/>
          <w:szCs w:val="24"/>
        </w:rPr>
        <w:t>5.</w:t>
      </w:r>
      <w:r w:rsidRPr="004D1186">
        <w:rPr>
          <w:rFonts w:ascii="Times New Roman" w:eastAsia="MS Mincho" w:hAnsi="Times New Roman" w:cs="Times New Roman"/>
          <w:i/>
          <w:color w:val="000000" w:themeColor="text1"/>
          <w:sz w:val="24"/>
          <w:szCs w:val="24"/>
        </w:rPr>
        <w:t xml:space="preserve"> Việt Nam dân quốc công báo</w:t>
      </w:r>
      <w:r w:rsidRPr="004D1186">
        <w:rPr>
          <w:rFonts w:ascii="Times New Roman" w:eastAsia="MS Mincho" w:hAnsi="Times New Roman" w:cs="Times New Roman"/>
          <w:color w:val="000000" w:themeColor="text1"/>
          <w:sz w:val="24"/>
          <w:szCs w:val="24"/>
        </w:rPr>
        <w:t>, số 1/1945.</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4D"/>
    <w:rsid w:val="00276375"/>
    <w:rsid w:val="00556F4D"/>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CC5E7-A9FD-4141-9849-417CE95E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4D"/>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556F4D"/>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556F4D"/>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4949</Characters>
  <Application>Microsoft Office Word</Application>
  <DocSecurity>0</DocSecurity>
  <Lines>41</Lines>
  <Paragraphs>11</Paragraphs>
  <ScaleCrop>false</ScaleCrop>
  <Company>21AK22.COM &amp; HIENPC.COM</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2025-12-25T21:22:00Z</dcterms:created>
  <dcterms:modified xsi:type="dcterms:W3CDTF">2025-12-25T21:23:00Z</dcterms:modified>
</cp:coreProperties>
</file>